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4"/>
        <w:tblW w:w="10980" w:type="dxa"/>
        <w:tblLayout w:type="fixed"/>
        <w:tblLook w:val="01E0"/>
      </w:tblPr>
      <w:tblGrid>
        <w:gridCol w:w="4711"/>
        <w:gridCol w:w="1495"/>
        <w:gridCol w:w="4774"/>
      </w:tblGrid>
      <w:tr w:rsidR="002B21D3" w:rsidTr="002B21D3">
        <w:tc>
          <w:tcPr>
            <w:tcW w:w="4711" w:type="dxa"/>
          </w:tcPr>
          <w:p w:rsidR="002B21D3" w:rsidRDefault="002B21D3" w:rsidP="002B21D3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               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2B21D3" w:rsidRDefault="002B21D3" w:rsidP="002B21D3">
            <w:pPr>
              <w:spacing w:line="336" w:lineRule="auto"/>
              <w:rPr>
                <w:rFonts w:ascii="BashAlfia" w:hAnsi="BashAlfia"/>
                <w:b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11530" cy="1089025"/>
                  <wp:effectExtent l="19050" t="0" r="7620" b="0"/>
                  <wp:docPr id="2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</w:tcPr>
          <w:p w:rsidR="002B21D3" w:rsidRDefault="002B21D3" w:rsidP="002B21D3">
            <w:pPr>
              <w:pStyle w:val="CharChar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СОВЕТ</w:t>
            </w:r>
          </w:p>
          <w:p w:rsidR="002B21D3" w:rsidRDefault="002B21D3" w:rsidP="002B21D3">
            <w:pPr>
              <w:pStyle w:val="CharChar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2B21D3" w:rsidTr="002B21D3">
        <w:tc>
          <w:tcPr>
            <w:tcW w:w="4711" w:type="dxa"/>
          </w:tcPr>
          <w:p w:rsidR="002B21D3" w:rsidRDefault="002B21D3" w:rsidP="002B21D3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495" w:type="dxa"/>
            <w:vMerge/>
            <w:vAlign w:val="center"/>
          </w:tcPr>
          <w:p w:rsidR="002B21D3" w:rsidRDefault="002B21D3" w:rsidP="002B21D3">
            <w:pPr>
              <w:rPr>
                <w:rFonts w:ascii="BashAlfia" w:hAnsi="BashAlfia"/>
                <w:b/>
              </w:rPr>
            </w:pPr>
          </w:p>
        </w:tc>
        <w:tc>
          <w:tcPr>
            <w:tcW w:w="4774" w:type="dxa"/>
          </w:tcPr>
          <w:p w:rsidR="002B21D3" w:rsidRDefault="002B21D3" w:rsidP="002B21D3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</w:tbl>
    <w:p w:rsidR="0048156E" w:rsidRPr="001A1F71" w:rsidRDefault="0010761A" w:rsidP="0048156E">
      <w:pPr>
        <w:pStyle w:val="a3"/>
        <w:rPr>
          <w:rFonts w:ascii="Times New Roman" w:hAnsi="Times New Roman"/>
          <w:sz w:val="28"/>
          <w:szCs w:val="28"/>
          <w:lang w:val="ba-RU"/>
        </w:rPr>
      </w:pPr>
      <w:r w:rsidRPr="0010761A">
        <w:pict>
          <v:line id="_x0000_s1026" style="position:absolute;flip:y;z-index:251658240;mso-position-horizontal-relative:text;mso-position-vertical-relative:text" from="-34.2pt,91.35pt" to="478.8pt,92.55pt" o:allowincell="f" strokeweight="4.5pt">
            <v:stroke linestyle="thickThin"/>
          </v:line>
        </w:pict>
      </w:r>
    </w:p>
    <w:p w:rsidR="0048156E" w:rsidRPr="0048156E" w:rsidRDefault="002B21D3" w:rsidP="002B21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sz w:val="16"/>
          <w:szCs w:val="16"/>
        </w:rPr>
        <w:t xml:space="preserve">  </w:t>
      </w:r>
      <w:r w:rsidR="0048156E" w:rsidRPr="0048156E">
        <w:rPr>
          <w:rStyle w:val="ConsPlusNormal0"/>
          <w:rFonts w:ascii="Times New Roman" w:eastAsia="Arial Unicode MS" w:hAnsi="Times New Roman"/>
          <w:b/>
          <w:sz w:val="28"/>
          <w:szCs w:val="28"/>
        </w:rPr>
        <w:t>Ҡ</w:t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 xml:space="preserve"> А Р А Р </w:t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</w:t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</w:t>
      </w:r>
      <w:proofErr w:type="gramStart"/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="0048156E" w:rsidRPr="0048156E">
        <w:rPr>
          <w:rFonts w:ascii="Times New Roman" w:eastAsia="Arial Unicode MS" w:hAnsi="Times New Roman" w:cs="Times New Roman"/>
          <w:b/>
          <w:sz w:val="28"/>
          <w:szCs w:val="28"/>
        </w:rPr>
        <w:t xml:space="preserve"> Е Ш Е Н И Е</w:t>
      </w:r>
    </w:p>
    <w:p w:rsidR="0048156E" w:rsidRPr="0048156E" w:rsidRDefault="0048156E" w:rsidP="0048156E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48156E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№ Р-1</w:t>
      </w:r>
      <w:r w:rsidR="00270D97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Pr="0048156E">
        <w:rPr>
          <w:rFonts w:ascii="Times New Roman" w:eastAsia="Arial Unicode MS" w:hAnsi="Times New Roman" w:cs="Times New Roman"/>
          <w:b/>
          <w:sz w:val="28"/>
          <w:szCs w:val="28"/>
        </w:rPr>
        <w:t>/</w:t>
      </w:r>
      <w:r w:rsidRPr="0048156E">
        <w:rPr>
          <w:rFonts w:ascii="Times New Roman" w:eastAsia="Arial Unicode MS" w:hAnsi="Times New Roman" w:cs="Times New Roman"/>
          <w:b/>
          <w:sz w:val="28"/>
          <w:szCs w:val="28"/>
          <w:lang w:val="ba-RU"/>
        </w:rPr>
        <w:t>5</w:t>
      </w:r>
      <w:r w:rsidR="00270D97">
        <w:rPr>
          <w:rFonts w:ascii="Times New Roman" w:eastAsia="Arial Unicode MS" w:hAnsi="Times New Roman" w:cs="Times New Roman"/>
          <w:b/>
          <w:sz w:val="28"/>
          <w:szCs w:val="28"/>
          <w:lang w:val="ba-RU"/>
        </w:rPr>
        <w:t>9</w:t>
      </w:r>
      <w:r w:rsidRPr="0048156E">
        <w:rPr>
          <w:rFonts w:ascii="Times New Roman" w:eastAsia="Arial Unicode MS" w:hAnsi="Times New Roman" w:cs="Times New Roman"/>
          <w:b/>
          <w:sz w:val="28"/>
          <w:szCs w:val="28"/>
          <w:lang w:val="ba-RU"/>
        </w:rPr>
        <w:t xml:space="preserve"> </w:t>
      </w:r>
      <w:r w:rsidRPr="0048156E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270D97">
        <w:rPr>
          <w:rFonts w:ascii="Times New Roman" w:eastAsia="Arial Unicode MS" w:hAnsi="Times New Roman" w:cs="Times New Roman"/>
          <w:b/>
          <w:sz w:val="28"/>
          <w:szCs w:val="28"/>
          <w:lang w:val="ba-RU"/>
        </w:rPr>
        <w:t>17 декабря</w:t>
      </w:r>
      <w:r w:rsidRPr="0048156E">
        <w:rPr>
          <w:rFonts w:ascii="Times New Roman" w:eastAsia="Arial Unicode MS" w:hAnsi="Times New Roman" w:cs="Times New Roman"/>
          <w:b/>
          <w:sz w:val="28"/>
          <w:szCs w:val="28"/>
        </w:rPr>
        <w:t xml:space="preserve"> 2021 года</w:t>
      </w:r>
    </w:p>
    <w:p w:rsidR="00270D97" w:rsidRPr="00270D97" w:rsidRDefault="00270D97" w:rsidP="00270D97">
      <w:pPr>
        <w:pStyle w:val="3"/>
        <w:jc w:val="center"/>
        <w:rPr>
          <w:sz w:val="28"/>
          <w:szCs w:val="28"/>
        </w:rPr>
      </w:pPr>
      <w:r w:rsidRPr="00270D97">
        <w:rPr>
          <w:sz w:val="28"/>
          <w:szCs w:val="28"/>
        </w:rPr>
        <w:t>«О БЮДЖЕТЕ  СЕЛЬСКОГО  ПОСЕЛЕНИЯ  АБИШЕВСКИЙ  СЕЛЬСОВЕТ   МУНИЦИПАЛЬНОГО РАЙОНА ХАЙБУЛЛИНСКИЙ РАЙОН РЕСПУБЛИКИ БАШКОРТОСТАН  НА 2022 ГОД И НА ПЛАНОВЫЙ ПЕРИОД 2023</w:t>
      </w:r>
      <w:proofErr w:type="gramStart"/>
      <w:r w:rsidRPr="00270D97">
        <w:rPr>
          <w:sz w:val="28"/>
          <w:szCs w:val="28"/>
        </w:rPr>
        <w:t xml:space="preserve"> И</w:t>
      </w:r>
      <w:proofErr w:type="gramEnd"/>
      <w:r w:rsidRPr="00270D97">
        <w:rPr>
          <w:sz w:val="28"/>
          <w:szCs w:val="28"/>
        </w:rPr>
        <w:t xml:space="preserve"> 2024 ГОДОВ»</w:t>
      </w:r>
    </w:p>
    <w:p w:rsidR="00270D97" w:rsidRDefault="00270D97" w:rsidP="00270D97">
      <w:pPr>
        <w:rPr>
          <w:b/>
        </w:rPr>
      </w:pPr>
      <w:r w:rsidRPr="00270D97">
        <w:rPr>
          <w:b/>
        </w:rPr>
        <w:tab/>
      </w:r>
    </w:p>
    <w:p w:rsidR="00270D97" w:rsidRPr="00270D97" w:rsidRDefault="00270D97" w:rsidP="00270D97">
      <w:pPr>
        <w:jc w:val="both"/>
      </w:pPr>
      <w:r w:rsidRPr="00270D97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 w:rsidRPr="00270D97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 сельского поселения </w:t>
      </w:r>
      <w:proofErr w:type="spellStart"/>
      <w:r w:rsidRPr="00270D97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270D9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1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 (далее бюджет сельского поселения) на</w:t>
      </w:r>
      <w:r w:rsidRPr="00270D97">
        <w:rPr>
          <w:rFonts w:ascii="Times New Roman" w:hAnsi="Times New Roman"/>
          <w:noProof/>
          <w:sz w:val="28"/>
          <w:szCs w:val="28"/>
        </w:rPr>
        <w:t xml:space="preserve"> 2022</w:t>
      </w:r>
      <w:r w:rsidRPr="00270D97">
        <w:rPr>
          <w:rFonts w:ascii="Times New Roman" w:hAnsi="Times New Roman"/>
          <w:sz w:val="28"/>
          <w:szCs w:val="28"/>
        </w:rPr>
        <w:t xml:space="preserve"> год: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1)</w:t>
      </w:r>
      <w:r w:rsidRPr="00270D97">
        <w:rPr>
          <w:rFonts w:ascii="Times New Roman" w:hAnsi="Times New Roman"/>
          <w:sz w:val="28"/>
          <w:szCs w:val="28"/>
        </w:rPr>
        <w:tab/>
        <w:t>прогнозируемый общий объём доходов бюджета сельского поселения в сумме   318</w:t>
      </w:r>
      <w:r w:rsidR="00CE3634">
        <w:rPr>
          <w:rFonts w:ascii="Times New Roman" w:hAnsi="Times New Roman"/>
          <w:sz w:val="28"/>
          <w:szCs w:val="28"/>
        </w:rPr>
        <w:t>3</w:t>
      </w:r>
      <w:r w:rsidRPr="00270D97">
        <w:rPr>
          <w:rFonts w:ascii="Times New Roman" w:hAnsi="Times New Roman"/>
          <w:sz w:val="28"/>
          <w:szCs w:val="28"/>
        </w:rPr>
        <w:t>,</w:t>
      </w:r>
      <w:r w:rsidR="00CE3634">
        <w:rPr>
          <w:rFonts w:ascii="Times New Roman" w:hAnsi="Times New Roman"/>
          <w:sz w:val="28"/>
          <w:szCs w:val="28"/>
        </w:rPr>
        <w:t>2</w:t>
      </w:r>
      <w:r w:rsidRPr="00270D97">
        <w:rPr>
          <w:rFonts w:ascii="Times New Roman" w:hAnsi="Times New Roman"/>
          <w:sz w:val="28"/>
          <w:szCs w:val="28"/>
        </w:rPr>
        <w:t xml:space="preserve">  тыс. рублей;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2)</w:t>
      </w:r>
      <w:r w:rsidRPr="00270D97">
        <w:rPr>
          <w:rFonts w:ascii="Times New Roman" w:hAnsi="Times New Roman"/>
          <w:sz w:val="28"/>
          <w:szCs w:val="28"/>
        </w:rPr>
        <w:tab/>
        <w:t>общий объём  расходов бюджета сельского поселения в сумме   318</w:t>
      </w:r>
      <w:r w:rsidR="00A145EC">
        <w:rPr>
          <w:rFonts w:ascii="Times New Roman" w:hAnsi="Times New Roman"/>
          <w:sz w:val="28"/>
          <w:szCs w:val="28"/>
        </w:rPr>
        <w:t>3</w:t>
      </w:r>
      <w:r w:rsidRPr="00270D97">
        <w:rPr>
          <w:rFonts w:ascii="Times New Roman" w:hAnsi="Times New Roman"/>
          <w:sz w:val="28"/>
          <w:szCs w:val="28"/>
        </w:rPr>
        <w:t>,</w:t>
      </w:r>
      <w:r w:rsidR="00A145EC">
        <w:rPr>
          <w:rFonts w:ascii="Times New Roman" w:hAnsi="Times New Roman"/>
          <w:sz w:val="28"/>
          <w:szCs w:val="28"/>
        </w:rPr>
        <w:t>2</w:t>
      </w:r>
      <w:r w:rsidRPr="00270D97">
        <w:rPr>
          <w:rFonts w:ascii="Times New Roman" w:hAnsi="Times New Roman"/>
          <w:sz w:val="28"/>
          <w:szCs w:val="28"/>
        </w:rPr>
        <w:t xml:space="preserve">        тыс. рублей. 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3)</w:t>
      </w:r>
      <w:r w:rsidRPr="00270D97">
        <w:rPr>
          <w:rFonts w:ascii="Times New Roman" w:hAnsi="Times New Roman"/>
          <w:sz w:val="28"/>
          <w:szCs w:val="28"/>
        </w:rPr>
        <w:tab/>
        <w:t>дефицит бюджета сельского поселения в сумме 0,0 тыс. рублей.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на плановый период 2023 и 2024 годов: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1)</w:t>
      </w:r>
      <w:r w:rsidRPr="00270D97">
        <w:rPr>
          <w:rFonts w:ascii="Times New Roman" w:hAnsi="Times New Roman"/>
          <w:sz w:val="28"/>
          <w:szCs w:val="28"/>
        </w:rPr>
        <w:tab/>
        <w:t>прогнозируемый общий объём доходов бюджета сельского поселения на 2023 год в сумме  241</w:t>
      </w:r>
      <w:r w:rsidR="00A145EC">
        <w:rPr>
          <w:rFonts w:ascii="Times New Roman" w:hAnsi="Times New Roman"/>
          <w:sz w:val="28"/>
          <w:szCs w:val="28"/>
        </w:rPr>
        <w:t>8</w:t>
      </w:r>
      <w:r w:rsidRPr="00270D97">
        <w:rPr>
          <w:rFonts w:ascii="Times New Roman" w:hAnsi="Times New Roman"/>
          <w:sz w:val="28"/>
          <w:szCs w:val="28"/>
        </w:rPr>
        <w:t>,</w:t>
      </w:r>
      <w:r w:rsidR="00A145EC">
        <w:rPr>
          <w:rFonts w:ascii="Times New Roman" w:hAnsi="Times New Roman"/>
          <w:sz w:val="28"/>
          <w:szCs w:val="28"/>
        </w:rPr>
        <w:t>9</w:t>
      </w:r>
      <w:r w:rsidRPr="00270D97">
        <w:rPr>
          <w:rFonts w:ascii="Times New Roman" w:hAnsi="Times New Roman"/>
          <w:sz w:val="28"/>
          <w:szCs w:val="28"/>
        </w:rPr>
        <w:t xml:space="preserve">  тыс. рублей и 2024 год в сумме   24</w:t>
      </w:r>
      <w:r w:rsidR="00A145EC">
        <w:rPr>
          <w:rFonts w:ascii="Times New Roman" w:hAnsi="Times New Roman"/>
          <w:sz w:val="28"/>
          <w:szCs w:val="28"/>
        </w:rPr>
        <w:t>73</w:t>
      </w:r>
      <w:r w:rsidRPr="00270D97">
        <w:rPr>
          <w:rFonts w:ascii="Times New Roman" w:hAnsi="Times New Roman"/>
          <w:sz w:val="28"/>
          <w:szCs w:val="28"/>
        </w:rPr>
        <w:t>,</w:t>
      </w:r>
      <w:r w:rsidR="00A145EC">
        <w:rPr>
          <w:rFonts w:ascii="Times New Roman" w:hAnsi="Times New Roman"/>
          <w:sz w:val="28"/>
          <w:szCs w:val="28"/>
        </w:rPr>
        <w:t>0</w:t>
      </w:r>
      <w:r w:rsidRPr="00270D97">
        <w:rPr>
          <w:rFonts w:ascii="Times New Roman" w:hAnsi="Times New Roman"/>
          <w:sz w:val="28"/>
          <w:szCs w:val="28"/>
        </w:rPr>
        <w:t xml:space="preserve">  тыс. рублей;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2)</w:t>
      </w:r>
      <w:r w:rsidRPr="00270D97">
        <w:rPr>
          <w:rFonts w:ascii="Times New Roman" w:hAnsi="Times New Roman"/>
          <w:sz w:val="28"/>
          <w:szCs w:val="28"/>
        </w:rPr>
        <w:tab/>
        <w:t>общий объём расходов бюджета сельского поселения на 2023 года в сумме 241</w:t>
      </w:r>
      <w:r w:rsidR="00A145EC">
        <w:rPr>
          <w:rFonts w:ascii="Times New Roman" w:hAnsi="Times New Roman"/>
          <w:sz w:val="28"/>
          <w:szCs w:val="28"/>
        </w:rPr>
        <w:t>8</w:t>
      </w:r>
      <w:r w:rsidRPr="00270D97">
        <w:rPr>
          <w:rFonts w:ascii="Times New Roman" w:hAnsi="Times New Roman"/>
          <w:sz w:val="28"/>
          <w:szCs w:val="28"/>
        </w:rPr>
        <w:t>,</w:t>
      </w:r>
      <w:r w:rsidR="00A145EC">
        <w:rPr>
          <w:rFonts w:ascii="Times New Roman" w:hAnsi="Times New Roman"/>
          <w:sz w:val="28"/>
          <w:szCs w:val="28"/>
        </w:rPr>
        <w:t>9</w:t>
      </w:r>
      <w:r w:rsidRPr="00270D97">
        <w:rPr>
          <w:rFonts w:ascii="Times New Roman" w:hAnsi="Times New Roman"/>
          <w:sz w:val="28"/>
          <w:szCs w:val="28"/>
        </w:rPr>
        <w:t xml:space="preserve">    тыс. рублей,   в том числе условно утверждаемые расходы в сумме   56,5  тыс. рублей и 2024 год в сумме 24</w:t>
      </w:r>
      <w:r w:rsidR="00A145EC">
        <w:rPr>
          <w:rFonts w:ascii="Times New Roman" w:hAnsi="Times New Roman"/>
          <w:sz w:val="28"/>
          <w:szCs w:val="28"/>
        </w:rPr>
        <w:t>73</w:t>
      </w:r>
      <w:r w:rsidRPr="00270D97">
        <w:rPr>
          <w:rFonts w:ascii="Times New Roman" w:hAnsi="Times New Roman"/>
          <w:sz w:val="28"/>
          <w:szCs w:val="28"/>
        </w:rPr>
        <w:t>,</w:t>
      </w:r>
      <w:r w:rsidR="00A145EC">
        <w:rPr>
          <w:rFonts w:ascii="Times New Roman" w:hAnsi="Times New Roman"/>
          <w:sz w:val="28"/>
          <w:szCs w:val="28"/>
        </w:rPr>
        <w:t>0</w:t>
      </w:r>
      <w:r w:rsidRPr="00270D97">
        <w:rPr>
          <w:rFonts w:ascii="Times New Roman" w:hAnsi="Times New Roman"/>
          <w:sz w:val="28"/>
          <w:szCs w:val="28"/>
        </w:rPr>
        <w:t xml:space="preserve">   тыс. рублей, в том числе условно утверждаемые расходы в сумме  116,0   тыс. рублей.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3)</w:t>
      </w:r>
      <w:r w:rsidRPr="00270D97">
        <w:rPr>
          <w:rFonts w:ascii="Times New Roman" w:hAnsi="Times New Roman"/>
          <w:sz w:val="28"/>
          <w:szCs w:val="28"/>
        </w:rPr>
        <w:tab/>
        <w:t>дефицит бюджета сельского поселения на 2023 год в сумме 0,0 тыс. рублей и на 2024 год в сумме 0,0 тыс. рублей.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D97" w:rsidRDefault="00270D97" w:rsidP="00270D9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0D97" w:rsidRDefault="00270D97" w:rsidP="00270D9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70D97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70D97">
        <w:rPr>
          <w:rFonts w:ascii="Times New Roman" w:hAnsi="Times New Roman"/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r w:rsidRPr="00270D97">
        <w:rPr>
          <w:rFonts w:ascii="Times New Roman" w:hAnsi="Times New Roman"/>
          <w:bCs/>
          <w:sz w:val="28"/>
          <w:szCs w:val="28"/>
        </w:rPr>
        <w:br/>
        <w:t>в ведении сельского поселения,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</w:t>
      </w:r>
      <w:proofErr w:type="gramEnd"/>
      <w:r w:rsidRPr="00270D97">
        <w:rPr>
          <w:rFonts w:ascii="Times New Roman" w:hAnsi="Times New Roman"/>
          <w:bCs/>
          <w:sz w:val="28"/>
          <w:szCs w:val="28"/>
        </w:rPr>
        <w:t xml:space="preserve"> предоставлены добровольные взносы (пожертвования).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3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1. Установить поступления доходов в бюджет сельского поселения: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1)</w:t>
      </w:r>
      <w:r w:rsidRPr="00270D97">
        <w:rPr>
          <w:rFonts w:ascii="Times New Roman" w:hAnsi="Times New Roman"/>
          <w:sz w:val="28"/>
          <w:szCs w:val="28"/>
        </w:rPr>
        <w:tab/>
        <w:t>на</w:t>
      </w:r>
      <w:r w:rsidRPr="00270D97">
        <w:rPr>
          <w:rFonts w:ascii="Times New Roman" w:hAnsi="Times New Roman"/>
          <w:noProof/>
          <w:sz w:val="28"/>
          <w:szCs w:val="28"/>
        </w:rPr>
        <w:t xml:space="preserve"> 2022 </w:t>
      </w:r>
      <w:r w:rsidRPr="00270D97">
        <w:rPr>
          <w:rFonts w:ascii="Times New Roman" w:hAnsi="Times New Roman"/>
          <w:sz w:val="28"/>
          <w:szCs w:val="28"/>
        </w:rPr>
        <w:t>год  и на плановый период 2023 и 2024 годов согласно приложению</w:t>
      </w:r>
      <w:r w:rsidRPr="00270D97">
        <w:rPr>
          <w:rFonts w:ascii="Times New Roman" w:hAnsi="Times New Roman"/>
          <w:noProof/>
          <w:sz w:val="28"/>
          <w:szCs w:val="28"/>
        </w:rPr>
        <w:t xml:space="preserve">  1</w:t>
      </w:r>
      <w:r w:rsidRPr="00270D97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2. Утвердить объем межбюджетных трансфертов, </w:t>
      </w:r>
      <w:proofErr w:type="spellStart"/>
      <w:r w:rsidRPr="00270D97">
        <w:rPr>
          <w:rFonts w:ascii="Times New Roman" w:hAnsi="Times New Roman"/>
          <w:sz w:val="28"/>
          <w:szCs w:val="28"/>
        </w:rPr>
        <w:t>поступаемых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 из бюджета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1)</w:t>
      </w:r>
      <w:r w:rsidRPr="00270D97">
        <w:rPr>
          <w:rFonts w:ascii="Times New Roman" w:hAnsi="Times New Roman"/>
          <w:sz w:val="28"/>
          <w:szCs w:val="28"/>
        </w:rPr>
        <w:tab/>
        <w:t xml:space="preserve">в форме субвенции для реализации  полномочий  органов государственной власти, переданных органам местного самоуправления в 2022 году в сумме 104,4 тыс. рублей, в 2023 году в сумме 107,4 тыс. рублей, в 2024 году в сумме 112,0 тыс. рублей; 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2)</w:t>
      </w:r>
      <w:r w:rsidRPr="00270D97">
        <w:rPr>
          <w:rFonts w:ascii="Times New Roman" w:hAnsi="Times New Roman"/>
          <w:sz w:val="28"/>
          <w:szCs w:val="28"/>
        </w:rPr>
        <w:tab/>
        <w:t xml:space="preserve">прочих  межбюджетных  трансфертов, передаваемых бюджетам поселений на осуществление  передаваемого полномочия по дорожной деятельности в границах  сельских поселений в 2022 году в сумме  164,6 тыс. рублей. 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3) прочих межбюджетных трансфертов на  организацию  в границах  поселения  </w:t>
      </w:r>
      <w:proofErr w:type="spellStart"/>
      <w:r w:rsidRPr="00270D97">
        <w:rPr>
          <w:rFonts w:ascii="Times New Roman" w:hAnsi="Times New Roman"/>
          <w:sz w:val="28"/>
          <w:szCs w:val="28"/>
        </w:rPr>
        <w:t>электро</w:t>
      </w:r>
      <w:proofErr w:type="spellEnd"/>
      <w:r w:rsidRPr="00270D97">
        <w:rPr>
          <w:rFonts w:ascii="Times New Roman" w:hAnsi="Times New Roman"/>
          <w:sz w:val="28"/>
          <w:szCs w:val="28"/>
        </w:rPr>
        <w:t>-, тепл</w:t>
      </w:r>
      <w:proofErr w:type="gramStart"/>
      <w:r w:rsidRPr="00270D97">
        <w:rPr>
          <w:rFonts w:ascii="Times New Roman" w:hAnsi="Times New Roman"/>
          <w:sz w:val="28"/>
          <w:szCs w:val="28"/>
        </w:rPr>
        <w:t>о-</w:t>
      </w:r>
      <w:proofErr w:type="gramEnd"/>
      <w:r w:rsidRPr="00270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0D97">
        <w:rPr>
          <w:rFonts w:ascii="Times New Roman" w:hAnsi="Times New Roman"/>
          <w:sz w:val="28"/>
          <w:szCs w:val="28"/>
        </w:rPr>
        <w:t>газо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2022 году в сумме  39,2 тыс. рублей. 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4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70D97">
        <w:rPr>
          <w:rFonts w:ascii="Times New Roman" w:hAnsi="Times New Roman"/>
          <w:bCs/>
          <w:sz w:val="28"/>
          <w:szCs w:val="28"/>
        </w:rPr>
        <w:t xml:space="preserve">Казначейское обслуживание казначейских счетов, открытых Администрации сельского поселения </w:t>
      </w:r>
      <w:proofErr w:type="spellStart"/>
      <w:r w:rsidRPr="00270D97">
        <w:rPr>
          <w:rFonts w:ascii="Times New Roman" w:hAnsi="Times New Roman"/>
          <w:bCs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5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1.</w:t>
      </w:r>
      <w:r w:rsidRPr="00270D97">
        <w:rPr>
          <w:rFonts w:ascii="Times New Roman" w:hAnsi="Times New Roman"/>
          <w:sz w:val="28"/>
          <w:szCs w:val="28"/>
        </w:rP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1) </w:t>
      </w:r>
      <w:r w:rsidRPr="00270D97">
        <w:rPr>
          <w:rFonts w:ascii="Times New Roman" w:hAnsi="Times New Roman"/>
          <w:sz w:val="28"/>
          <w:szCs w:val="28"/>
        </w:rPr>
        <w:tab/>
        <w:t xml:space="preserve">по разделам и подразделам, целевым статьям (муниципальным программам и </w:t>
      </w:r>
      <w:proofErr w:type="spellStart"/>
      <w:r w:rsidRPr="00270D9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направлениям деятельности) группам видов </w:t>
      </w:r>
      <w:r w:rsidRPr="00270D97">
        <w:rPr>
          <w:rFonts w:ascii="Times New Roman" w:hAnsi="Times New Roman"/>
          <w:sz w:val="28"/>
          <w:szCs w:val="28"/>
        </w:rPr>
        <w:lastRenderedPageBreak/>
        <w:t>расходов классификации расходов на 2022 год и  на плановый период 2023 и 2024 годов согласно приложению 2 к настоящему Решению;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2)</w:t>
      </w:r>
      <w:r w:rsidRPr="00270D97">
        <w:rPr>
          <w:rFonts w:ascii="Times New Roman" w:hAnsi="Times New Roman"/>
          <w:sz w:val="28"/>
          <w:szCs w:val="28"/>
        </w:rPr>
        <w:tab/>
        <w:t xml:space="preserve"> ведомственную структуру расходов бюджета сельского поселения     на 2022 год  и на плановый период 2023 и 2024 годов согласно приложению 3 к настоящему Решению;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3) по целевым статьям (муниципальным программам и </w:t>
      </w:r>
      <w:proofErr w:type="spellStart"/>
      <w:r w:rsidRPr="00270D9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направлениям деятельности) классификации расходов бюджетов  на 2022 год  и на плановый период 2023 и 2024 годов согласно приложению 4 к настоящему Решению.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2. Утвердить объём резервного фонда Администрации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 на 2022 год в сумме 10,0 тыс. рублей, на 2023 год в сумме 10,0 тыс. рублей и на 2024 год  в сумме 10,0 тыс. рублей.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6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0D97">
        <w:rPr>
          <w:rFonts w:ascii="Times New Roman" w:hAnsi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при изыскании дополнительных</w:t>
      </w:r>
      <w:proofErr w:type="gramEnd"/>
      <w:r w:rsidRPr="00270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D97">
        <w:rPr>
          <w:rFonts w:ascii="Times New Roman" w:hAnsi="Times New Roman"/>
          <w:sz w:val="28"/>
          <w:szCs w:val="28"/>
        </w:rPr>
        <w:t xml:space="preserve">источников доходов бюджета сельского поселения и (или) сокращении бюджетных ассигнований по конкретным статьям расходов бюджета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Башкортостан, при условии внесения соответствующих изменений в настоящее Решение.</w:t>
      </w:r>
      <w:proofErr w:type="gramEnd"/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0D97">
        <w:rPr>
          <w:rFonts w:ascii="Times New Roman" w:hAnsi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 либо сокращающие его доходную базу, вносятся при одновременном внесении предложений о</w:t>
      </w:r>
      <w:proofErr w:type="gramEnd"/>
      <w:r w:rsidRPr="00270D97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gramStart"/>
      <w:r w:rsidRPr="00270D97">
        <w:rPr>
          <w:rFonts w:ascii="Times New Roman" w:hAnsi="Times New Roman"/>
          <w:sz w:val="28"/>
          <w:szCs w:val="28"/>
        </w:rPr>
        <w:t>источниках</w:t>
      </w:r>
      <w:proofErr w:type="gramEnd"/>
      <w:r w:rsidRPr="00270D97">
        <w:rPr>
          <w:rFonts w:ascii="Times New Roman" w:hAnsi="Times New Roman"/>
          <w:sz w:val="28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70D97">
        <w:rPr>
          <w:rFonts w:ascii="Times New Roman" w:hAnsi="Times New Roman"/>
          <w:sz w:val="28"/>
          <w:szCs w:val="28"/>
        </w:rPr>
        <w:t>Администрация сельского поселения не вправе принимать решения, приводящие к увеличению в 2022-2024 годах численности муниципальных служащих и  работников  муниципальных учреждений.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7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0D97">
        <w:rPr>
          <w:rFonts w:ascii="Times New Roman" w:hAnsi="Times New Roman"/>
          <w:sz w:val="28"/>
          <w:szCs w:val="28"/>
        </w:rPr>
        <w:t>Утвердить верхний предел муниципального внутреннего долга                         на 1 января 2023 года в сумме 0,0 тыс. рублей, на 1 января 2024 года в сумме 0,0 тыс. рублей, на 1 января 2025 года в сумме 0,0 тыс. рублей, в том числе верхний предел муниципального долга по муниципальным гарантиям в валюте Российской Федерации на 1 января 2023 года в сумме 0,0 тыс. рублей</w:t>
      </w:r>
      <w:proofErr w:type="gramEnd"/>
      <w:r w:rsidRPr="00270D97">
        <w:rPr>
          <w:rFonts w:ascii="Times New Roman" w:hAnsi="Times New Roman"/>
          <w:sz w:val="28"/>
          <w:szCs w:val="28"/>
        </w:rPr>
        <w:t xml:space="preserve">,  </w:t>
      </w:r>
      <w:r w:rsidRPr="00270D97">
        <w:rPr>
          <w:rFonts w:ascii="Times New Roman" w:hAnsi="Times New Roman"/>
          <w:sz w:val="28"/>
          <w:szCs w:val="28"/>
        </w:rPr>
        <w:lastRenderedPageBreak/>
        <w:t xml:space="preserve">на 1 января 2024 года в сумме 0,0 тыс. рублей, на 1 января 2025 года в сумме 0,0 тыс. рублей. 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2. Утвердить объём бюджетных ассигнований, предусмотренных на исполнение муниципальных гарантий  по возможным гарантийным случаям на 2022 год в сумме 0,0 тыс. рублей и плановый период 2023 г в сумме 0,0 тыс. рублей и 2024 г в сумме 0,0 тыс. рублей.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8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Установить, что в  соответствии с пунктом 3 и 8 статьи 217 Бюджетного кодекса Российской федерации следующие основания для внесения в ходе исполнения настоящего решения  изменений в показатели сводной бюджетной росписи бюджета сельского поселения связанные с особенностями исполнения бюджета и (или) перераспределения бюджетных ассигнований между получателями бюджетных средств по следующим основаниям: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1)</w:t>
      </w:r>
      <w:r w:rsidRPr="00270D97">
        <w:rPr>
          <w:rFonts w:ascii="Times New Roman" w:hAnsi="Times New Roman"/>
          <w:sz w:val="28"/>
          <w:szCs w:val="28"/>
        </w:rPr>
        <w:tab/>
        <w:t>при поступлении средств из других уровней бюджетов в виде дотаций, субвенций, иных  межбюджетных трансфертов и прочих безвозмездных поступлений;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2) при получении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3)</w:t>
      </w:r>
      <w:r w:rsidRPr="00270D97">
        <w:rPr>
          <w:rFonts w:ascii="Times New Roman" w:hAnsi="Times New Roman"/>
          <w:sz w:val="28"/>
          <w:szCs w:val="28"/>
        </w:rPr>
        <w:tab/>
        <w:t>при принятии решений о перераспределении средств на реализацию муниципальных программ сельского поселения;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4)</w:t>
      </w:r>
      <w:r w:rsidRPr="00270D97">
        <w:rPr>
          <w:rFonts w:ascii="Times New Roman" w:hAnsi="Times New Roman"/>
          <w:sz w:val="28"/>
          <w:szCs w:val="28"/>
        </w:rPr>
        <w:tab/>
        <w:t>при использовании средств резервного фонда Администрации сельского поселения;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5)</w:t>
      </w:r>
      <w:r w:rsidRPr="00270D97">
        <w:rPr>
          <w:rFonts w:ascii="Times New Roman" w:hAnsi="Times New Roman"/>
          <w:sz w:val="28"/>
          <w:szCs w:val="28"/>
        </w:rPr>
        <w:tab/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6) при оплате судебных издержек, связанных с представлением интересов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7) на мероприятия, связанные с ликвидацией и преобразованием  органов местного самоуправления;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9)</w:t>
      </w:r>
      <w:r w:rsidRPr="00270D97">
        <w:rPr>
          <w:rFonts w:ascii="Times New Roman" w:hAnsi="Times New Roman"/>
          <w:sz w:val="28"/>
          <w:szCs w:val="28"/>
        </w:rPr>
        <w:tab/>
        <w:t>в иных случаях, установленных бюджетным законодательством.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9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270D97">
        <w:rPr>
          <w:rFonts w:ascii="Times New Roman" w:hAnsi="Times New Roman"/>
          <w:sz w:val="28"/>
          <w:szCs w:val="28"/>
        </w:rPr>
        <w:lastRenderedPageBreak/>
        <w:t xml:space="preserve">установить </w:t>
      </w:r>
      <w:proofErr w:type="gramStart"/>
      <w:r w:rsidRPr="0027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0D97">
        <w:rPr>
          <w:rFonts w:ascii="Times New Roman" w:hAnsi="Times New Roman"/>
          <w:sz w:val="28"/>
          <w:szCs w:val="28"/>
        </w:rPr>
        <w:t xml:space="preserve"> исполнением бюджета  сельского поселения на 2022 год и плановый период 2023 и 2024 годов, полным поступлением доходов в бюджет, целевым и эффективным использованием бюджетных средств.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D97">
        <w:rPr>
          <w:rFonts w:ascii="Times New Roman" w:hAnsi="Times New Roman"/>
          <w:b/>
          <w:sz w:val="28"/>
          <w:szCs w:val="28"/>
        </w:rPr>
        <w:t>Статья 10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Данное решение вступает в силу с 1 января 2022 года.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 </w:t>
      </w:r>
      <w:r w:rsidRPr="00270D97">
        <w:rPr>
          <w:rFonts w:ascii="Times New Roman" w:hAnsi="Times New Roman"/>
          <w:b/>
          <w:sz w:val="28"/>
          <w:szCs w:val="28"/>
        </w:rPr>
        <w:t>Статья 11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 xml:space="preserve">Данное решение разместить на информационных стендах и опубликовать на официальном сайте сельского поселения </w:t>
      </w: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D97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сельсовет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муниципального района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D9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70D97">
        <w:rPr>
          <w:rFonts w:ascii="Times New Roman" w:hAnsi="Times New Roman"/>
          <w:sz w:val="28"/>
          <w:szCs w:val="28"/>
        </w:rPr>
        <w:t xml:space="preserve"> район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D97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Т.М.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D97">
        <w:rPr>
          <w:rFonts w:ascii="Times New Roman" w:hAnsi="Times New Roman"/>
          <w:sz w:val="28"/>
          <w:szCs w:val="28"/>
        </w:rPr>
        <w:t>Юнусов</w:t>
      </w:r>
    </w:p>
    <w:p w:rsidR="00270D97" w:rsidRPr="00270D97" w:rsidRDefault="00270D97" w:rsidP="00270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357" w:rsidRPr="00270D97" w:rsidRDefault="000A3357" w:rsidP="00270D97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sectPr w:rsidR="000A3357" w:rsidRPr="00270D97" w:rsidSect="0076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4129C"/>
    <w:rsid w:val="0008737A"/>
    <w:rsid w:val="000A3357"/>
    <w:rsid w:val="0010761A"/>
    <w:rsid w:val="00154DEB"/>
    <w:rsid w:val="001F1312"/>
    <w:rsid w:val="00270D97"/>
    <w:rsid w:val="002B21D3"/>
    <w:rsid w:val="0048156E"/>
    <w:rsid w:val="0054129C"/>
    <w:rsid w:val="00765C87"/>
    <w:rsid w:val="00A145EC"/>
    <w:rsid w:val="00CE3634"/>
    <w:rsid w:val="00E35F03"/>
    <w:rsid w:val="00F2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7"/>
  </w:style>
  <w:style w:type="paragraph" w:styleId="4">
    <w:name w:val="heading 4"/>
    <w:basedOn w:val="a"/>
    <w:next w:val="a"/>
    <w:link w:val="40"/>
    <w:qFormat/>
    <w:rsid w:val="00270D97"/>
    <w:pPr>
      <w:keepNext/>
      <w:widowControl w:val="0"/>
      <w:autoSpaceDE w:val="0"/>
      <w:autoSpaceDN w:val="0"/>
      <w:adjustRightInd w:val="0"/>
      <w:spacing w:after="0" w:line="360" w:lineRule="auto"/>
      <w:ind w:right="-3"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129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541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rsid w:val="005412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4129C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sz w:val="26"/>
      <w:szCs w:val="26"/>
    </w:rPr>
  </w:style>
  <w:style w:type="paragraph" w:customStyle="1" w:styleId="ConsPlusNonformat">
    <w:name w:val="ConsPlusNonformat"/>
    <w:uiPriority w:val="99"/>
    <w:rsid w:val="0054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semiHidden/>
    <w:unhideWhenUsed/>
    <w:rsid w:val="0054129C"/>
    <w:rPr>
      <w:color w:val="0000FF"/>
      <w:u w:val="single"/>
    </w:rPr>
  </w:style>
  <w:style w:type="paragraph" w:customStyle="1" w:styleId="CharChar">
    <w:name w:val="Char Char"/>
    <w:basedOn w:val="a"/>
    <w:link w:val="CharChar0"/>
    <w:rsid w:val="004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48156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48156E"/>
    <w:rPr>
      <w:rFonts w:ascii="Arial" w:eastAsia="Times New Roman" w:hAnsi="Arial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6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70D97"/>
    <w:rPr>
      <w:rFonts w:ascii="Times New Roman" w:eastAsia="Times New Roman" w:hAnsi="Times New Roman" w:cs="Times New Roman"/>
      <w:b/>
      <w:sz w:val="24"/>
      <w:szCs w:val="28"/>
    </w:rPr>
  </w:style>
  <w:style w:type="paragraph" w:styleId="3">
    <w:name w:val="Body Text 3"/>
    <w:basedOn w:val="a"/>
    <w:link w:val="30"/>
    <w:rsid w:val="00270D97"/>
    <w:pPr>
      <w:spacing w:after="0" w:line="240" w:lineRule="auto"/>
      <w:ind w:right="-3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270D97"/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Body Text Indent 2"/>
    <w:basedOn w:val="a"/>
    <w:link w:val="20"/>
    <w:rsid w:val="00270D97"/>
    <w:pPr>
      <w:widowControl w:val="0"/>
      <w:autoSpaceDE w:val="0"/>
      <w:autoSpaceDN w:val="0"/>
      <w:adjustRightInd w:val="0"/>
      <w:spacing w:after="0" w:line="240" w:lineRule="auto"/>
      <w:ind w:right="-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0D9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70D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2021-12-17T04:40:00Z</cp:lastPrinted>
  <dcterms:created xsi:type="dcterms:W3CDTF">2021-11-02T04:45:00Z</dcterms:created>
  <dcterms:modified xsi:type="dcterms:W3CDTF">2021-12-17T04:42:00Z</dcterms:modified>
</cp:coreProperties>
</file>