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6"/>
        <w:tblW w:w="10955" w:type="dxa"/>
        <w:tblLook w:val="01E0"/>
      </w:tblPr>
      <w:tblGrid>
        <w:gridCol w:w="4867"/>
        <w:gridCol w:w="1536"/>
        <w:gridCol w:w="4552"/>
      </w:tblGrid>
      <w:tr w:rsidR="00373B74" w:rsidRPr="00FD11F5" w:rsidTr="00373B74">
        <w:trPr>
          <w:trHeight w:val="2017"/>
        </w:trPr>
        <w:tc>
          <w:tcPr>
            <w:tcW w:w="4892" w:type="dxa"/>
            <w:tcBorders>
              <w:top w:val="nil"/>
            </w:tcBorders>
          </w:tcPr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ХӘЙБУЛЛА  РАЙОНЫ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БЕШ АУЫЛ СОВЕТЫ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Мәктәп урамы, 7, Оло Әбеш ауылы, 453814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ИНН 0248000415  КПП 024801001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 (34758) 2-34-46, факс (34758) 2-34-46,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-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: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@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.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1491" w:type="dxa"/>
            <w:tcBorders>
              <w:left w:val="nil"/>
            </w:tcBorders>
          </w:tcPr>
          <w:p w:rsidR="00373B74" w:rsidRPr="00FD11F5" w:rsidRDefault="00373B74" w:rsidP="00373B7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9625" cy="1085850"/>
                  <wp:effectExtent l="19050" t="0" r="9525" b="0"/>
                  <wp:docPr id="3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tcBorders>
              <w:top w:val="nil"/>
              <w:left w:val="nil"/>
            </w:tcBorders>
          </w:tcPr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АБИШЕВСКИЙ СЕЛЬСОВЕТ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ХАЙБУЛЛИНСКИЙ РАЙОН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ул. Школьная, 7, село Большеабишево, 453814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ИНН 0248000415  КПП 024801001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тел. (34758) 2-34-46,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факс (34758) 2-34-46,</w:t>
            </w:r>
          </w:p>
          <w:p w:rsidR="00373B74" w:rsidRPr="00FD11F5" w:rsidRDefault="00373B74" w:rsidP="00373B7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373B74" w:rsidRDefault="00373B74" w:rsidP="00373B74">
      <w:pPr>
        <w:pStyle w:val="af2"/>
        <w:rPr>
          <w:rFonts w:ascii="Times New Roman" w:hAnsi="Times New Roman"/>
          <w:sz w:val="24"/>
          <w:szCs w:val="24"/>
          <w:lang w:val="ba-RU"/>
        </w:rPr>
      </w:pPr>
      <w:r w:rsidRPr="00C24AC9">
        <w:rPr>
          <w:rFonts w:ascii="Times New Roman" w:hAnsi="Times New Roman"/>
          <w:b/>
          <w:sz w:val="20"/>
          <w:szCs w:val="20"/>
        </w:rPr>
        <w:pict>
          <v:line id="_x0000_s1026" style="position:absolute;flip:y;z-index:251660288;mso-position-horizontal-relative:text;mso-position-vertical-relative:text" from="-19.25pt,113.85pt" to="493.75pt,115.05pt" strokeweight="4.5pt">
            <v:stroke linestyle="thickThin"/>
          </v:line>
        </w:pict>
      </w:r>
    </w:p>
    <w:p w:rsidR="00373B74" w:rsidRPr="00FD11F5" w:rsidRDefault="00373B74" w:rsidP="00373B74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sz w:val="24"/>
          <w:szCs w:val="24"/>
          <w:lang w:val="ba-RU"/>
        </w:rPr>
        <w:t xml:space="preserve">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 xml:space="preserve">ҠАРАР                                                  </w:t>
      </w:r>
      <w:r w:rsidRPr="00FD11F5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>ПОСТАНОВЛЕ</w:t>
      </w:r>
      <w:r w:rsidRPr="00FD11F5">
        <w:rPr>
          <w:rFonts w:ascii="Times New Roman" w:hAnsi="Times New Roman"/>
          <w:b/>
          <w:sz w:val="24"/>
          <w:szCs w:val="24"/>
        </w:rPr>
        <w:t>НИЕ</w:t>
      </w:r>
    </w:p>
    <w:p w:rsidR="00373B74" w:rsidRPr="00FD11F5" w:rsidRDefault="00373B74" w:rsidP="00373B74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FD11F5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54</w:t>
      </w:r>
    </w:p>
    <w:p w:rsidR="00373B74" w:rsidRPr="00FD11F5" w:rsidRDefault="00373B74" w:rsidP="00373B74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FD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апрель</w:t>
      </w:r>
      <w:r w:rsidRPr="00FD11F5">
        <w:rPr>
          <w:rFonts w:ascii="Times New Roman" w:hAnsi="Times New Roman"/>
          <w:b/>
          <w:sz w:val="24"/>
          <w:szCs w:val="24"/>
        </w:rPr>
        <w:t xml:space="preserve"> 2019 йыл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FD11F5">
        <w:rPr>
          <w:rFonts w:ascii="Times New Roman" w:hAnsi="Times New Roman"/>
          <w:b/>
          <w:sz w:val="24"/>
          <w:szCs w:val="24"/>
        </w:rPr>
        <w:t xml:space="preserve">      1</w:t>
      </w:r>
      <w:r>
        <w:rPr>
          <w:rFonts w:ascii="Times New Roman" w:hAnsi="Times New Roman"/>
          <w:b/>
          <w:sz w:val="24"/>
          <w:szCs w:val="24"/>
        </w:rPr>
        <w:t>2</w:t>
      </w:r>
      <w:r w:rsidRPr="00FD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FD11F5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373B74" w:rsidRPr="00FD11F5" w:rsidRDefault="00373B74" w:rsidP="00373B74">
      <w:pPr>
        <w:pStyle w:val="af2"/>
        <w:rPr>
          <w:rFonts w:ascii="Times New Roman" w:hAnsi="Times New Roman"/>
          <w:b/>
          <w:sz w:val="24"/>
          <w:szCs w:val="24"/>
        </w:rPr>
      </w:pPr>
    </w:p>
    <w:p w:rsidR="00373B74" w:rsidRPr="00FD11F5" w:rsidRDefault="00373B74" w:rsidP="00373B74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b/>
          <w:sz w:val="24"/>
          <w:szCs w:val="24"/>
        </w:rPr>
        <w:t xml:space="preserve">Оло Әбеш ауылы                                                           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ba-RU"/>
        </w:rPr>
        <w:t xml:space="preserve">             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 xml:space="preserve">   </w:t>
      </w:r>
      <w:r w:rsidRPr="00FD11F5">
        <w:rPr>
          <w:rFonts w:ascii="Times New Roman" w:hAnsi="Times New Roman"/>
          <w:b/>
          <w:sz w:val="24"/>
          <w:szCs w:val="24"/>
        </w:rPr>
        <w:t>село Большеабишево</w:t>
      </w:r>
    </w:p>
    <w:p w:rsidR="00FF0101" w:rsidRPr="00003A73" w:rsidRDefault="00FF0101" w:rsidP="00373B74">
      <w:pPr>
        <w:spacing w:after="0" w:line="240" w:lineRule="auto"/>
        <w:rPr>
          <w:b/>
        </w:rPr>
      </w:pPr>
    </w:p>
    <w:p w:rsidR="00AE2BFD" w:rsidRP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>сельском поселении А</w:t>
      </w:r>
      <w:r w:rsidR="00373B74">
        <w:rPr>
          <w:rFonts w:ascii="Times New Roman" w:hAnsi="Times New Roman" w:cs="Times New Roman"/>
          <w:b/>
          <w:bCs/>
          <w:sz w:val="28"/>
          <w:szCs w:val="28"/>
        </w:rPr>
        <w:t>бишев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647CB" w:rsidRPr="008E61D9" w:rsidRDefault="00B647CB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8E61D9" w:rsidRDefault="00B5216E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F0101" w:rsidRPr="00373B74" w:rsidRDefault="00B647CB" w:rsidP="00FF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7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373B74">
        <w:rPr>
          <w:rFonts w:ascii="Times New Roman" w:hAnsi="Times New Roman" w:cs="Times New Roman"/>
          <w:sz w:val="24"/>
          <w:szCs w:val="24"/>
        </w:rPr>
        <w:t>с</w:t>
      </w:r>
      <w:r w:rsidR="00FF0101" w:rsidRPr="00373B74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373B74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373B7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373B74">
        <w:rPr>
          <w:rFonts w:ascii="Times New Roman" w:hAnsi="Times New Roman" w:cs="Times New Roman"/>
          <w:sz w:val="24"/>
          <w:szCs w:val="24"/>
        </w:rPr>
        <w:t>ом</w:t>
      </w:r>
      <w:r w:rsidR="00FF0101" w:rsidRPr="00373B74">
        <w:rPr>
          <w:rFonts w:ascii="Times New Roman" w:hAnsi="Times New Roman" w:cs="Times New Roman"/>
          <w:sz w:val="24"/>
          <w:szCs w:val="24"/>
        </w:rPr>
        <w:t xml:space="preserve"> </w:t>
      </w:r>
      <w:r w:rsidRPr="00373B74">
        <w:rPr>
          <w:rFonts w:ascii="Times New Roman" w:hAnsi="Times New Roman" w:cs="Times New Roman"/>
          <w:sz w:val="24"/>
          <w:szCs w:val="24"/>
        </w:rPr>
        <w:t>от 27 июля 2010 года</w:t>
      </w:r>
      <w:r w:rsidR="00FF0101" w:rsidRPr="00373B74">
        <w:rPr>
          <w:rFonts w:ascii="Times New Roman" w:hAnsi="Times New Roman" w:cs="Times New Roman"/>
          <w:sz w:val="24"/>
          <w:szCs w:val="24"/>
        </w:rPr>
        <w:t xml:space="preserve"> </w:t>
      </w:r>
      <w:r w:rsidRPr="00373B74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373B7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30CA5" w:rsidRPr="00373B74">
        <w:rPr>
          <w:rFonts w:ascii="Times New Roman" w:hAnsi="Times New Roman" w:cs="Times New Roman"/>
          <w:sz w:val="24"/>
          <w:szCs w:val="24"/>
        </w:rPr>
        <w:t>–</w:t>
      </w:r>
      <w:r w:rsidR="002D671C" w:rsidRPr="00373B74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373B74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CF3156" w:rsidRPr="00373B74">
        <w:rPr>
          <w:rFonts w:ascii="Times New Roman" w:hAnsi="Times New Roman" w:cs="Times New Roman"/>
          <w:sz w:val="24"/>
          <w:szCs w:val="24"/>
        </w:rPr>
        <w:t>2</w:t>
      </w:r>
      <w:r w:rsidR="00FB0855" w:rsidRPr="00373B74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F0101" w:rsidRPr="00373B74">
        <w:rPr>
          <w:rFonts w:ascii="Times New Roman" w:hAnsi="Times New Roman" w:cs="Times New Roman"/>
          <w:sz w:val="24"/>
          <w:szCs w:val="24"/>
        </w:rPr>
        <w:t xml:space="preserve">, </w:t>
      </w:r>
      <w:r w:rsidR="00FF0101" w:rsidRPr="00373B74">
        <w:rPr>
          <w:rFonts w:ascii="Times New Roman" w:hAnsi="Times New Roman" w:cs="Times New Roman"/>
          <w:bCs/>
          <w:sz w:val="24"/>
          <w:szCs w:val="24"/>
        </w:rPr>
        <w:t>А</w:t>
      </w:r>
      <w:r w:rsidR="00FF0101" w:rsidRPr="00373B74">
        <w:rPr>
          <w:rFonts w:ascii="Times New Roman" w:hAnsi="Times New Roman" w:cs="Times New Roman"/>
          <w:sz w:val="24"/>
          <w:szCs w:val="24"/>
        </w:rPr>
        <w:t>дминистрация</w:t>
      </w:r>
      <w:r w:rsidR="00FF0101" w:rsidRPr="00373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436" w:rsidRPr="00373B74">
        <w:rPr>
          <w:rFonts w:ascii="Times New Roman" w:hAnsi="Times New Roman" w:cs="Times New Roman"/>
          <w:sz w:val="24"/>
          <w:szCs w:val="24"/>
        </w:rPr>
        <w:t>сельского поселения А</w:t>
      </w:r>
      <w:r w:rsidR="00373B74" w:rsidRPr="00373B74">
        <w:rPr>
          <w:rFonts w:ascii="Times New Roman" w:hAnsi="Times New Roman" w:cs="Times New Roman"/>
          <w:sz w:val="24"/>
          <w:szCs w:val="24"/>
        </w:rPr>
        <w:t>бишев</w:t>
      </w:r>
      <w:r w:rsidR="00F84436" w:rsidRPr="00373B74">
        <w:rPr>
          <w:rFonts w:ascii="Times New Roman" w:hAnsi="Times New Roman" w:cs="Times New Roman"/>
          <w:sz w:val="24"/>
          <w:szCs w:val="24"/>
        </w:rPr>
        <w:t>ский</w:t>
      </w:r>
      <w:r w:rsidR="00FF0101" w:rsidRPr="00373B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B647CB" w:rsidRPr="00373B74" w:rsidRDefault="00FF0101" w:rsidP="00FF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74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F0101" w:rsidRPr="00373B74" w:rsidRDefault="00920CBD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74">
        <w:rPr>
          <w:rFonts w:ascii="Times New Roman" w:hAnsi="Times New Roman" w:cs="Times New Roman"/>
          <w:sz w:val="24"/>
          <w:szCs w:val="24"/>
        </w:rPr>
        <w:t>1.</w:t>
      </w:r>
      <w:r w:rsidR="00B647CB" w:rsidRPr="00373B7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373B74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7E2B45" w:rsidRPr="00373B74">
        <w:rPr>
          <w:rFonts w:ascii="Times New Roman" w:hAnsi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 w:rsidRPr="00373B74">
        <w:rPr>
          <w:rFonts w:ascii="Times New Roman" w:hAnsi="Times New Roman" w:cs="Times New Roman"/>
          <w:sz w:val="24"/>
          <w:szCs w:val="24"/>
        </w:rPr>
        <w:t xml:space="preserve"> </w:t>
      </w:r>
      <w:r w:rsidR="00FF0101" w:rsidRPr="00373B7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84436" w:rsidRPr="00373B74">
        <w:rPr>
          <w:rFonts w:ascii="Times New Roman" w:hAnsi="Times New Roman" w:cs="Times New Roman"/>
          <w:bCs/>
          <w:sz w:val="24"/>
          <w:szCs w:val="24"/>
        </w:rPr>
        <w:t>сельском поселении А</w:t>
      </w:r>
      <w:r w:rsidR="00373B74" w:rsidRPr="00373B74">
        <w:rPr>
          <w:rFonts w:ascii="Times New Roman" w:hAnsi="Times New Roman" w:cs="Times New Roman"/>
          <w:bCs/>
          <w:sz w:val="24"/>
          <w:szCs w:val="24"/>
        </w:rPr>
        <w:t>бишев</w:t>
      </w:r>
      <w:r w:rsidR="00F84436" w:rsidRPr="00373B74">
        <w:rPr>
          <w:rFonts w:ascii="Times New Roman" w:hAnsi="Times New Roman" w:cs="Times New Roman"/>
          <w:bCs/>
          <w:sz w:val="24"/>
          <w:szCs w:val="24"/>
        </w:rPr>
        <w:t xml:space="preserve">ский </w:t>
      </w:r>
      <w:r w:rsidR="00FF0101" w:rsidRPr="00373B74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Хайбуллинский район Республики Башкортостан.</w:t>
      </w:r>
    </w:p>
    <w:p w:rsidR="00FF0101" w:rsidRPr="00373B74" w:rsidRDefault="00FF0101" w:rsidP="00FF01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74">
        <w:rPr>
          <w:sz w:val="24"/>
          <w:szCs w:val="24"/>
        </w:rPr>
        <w:tab/>
      </w:r>
      <w:r w:rsidRPr="00373B74"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на следующий день, после дня его официального обнародования.</w:t>
      </w:r>
    </w:p>
    <w:p w:rsidR="00FF0101" w:rsidRPr="00373B74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B74">
        <w:rPr>
          <w:rFonts w:ascii="Times New Roman" w:hAnsi="Times New Roman" w:cs="Times New Roman"/>
          <w:sz w:val="24"/>
          <w:szCs w:val="24"/>
        </w:rPr>
        <w:t xml:space="preserve">  3. Обнародовать настоящее постановление на информационном стенде в здании администрации и на официальном сайте в сети Интернет </w:t>
      </w:r>
      <w:r w:rsidR="00F84436" w:rsidRPr="00373B74">
        <w:rPr>
          <w:rFonts w:ascii="Times New Roman" w:hAnsi="Times New Roman" w:cs="Times New Roman"/>
          <w:sz w:val="24"/>
          <w:szCs w:val="24"/>
        </w:rPr>
        <w:t>сельского поселения А</w:t>
      </w:r>
      <w:r w:rsidR="00373B74" w:rsidRPr="00373B74">
        <w:rPr>
          <w:rFonts w:ascii="Times New Roman" w:hAnsi="Times New Roman" w:cs="Times New Roman"/>
          <w:sz w:val="24"/>
          <w:szCs w:val="24"/>
        </w:rPr>
        <w:t>бишев</w:t>
      </w:r>
      <w:r w:rsidR="00F84436" w:rsidRPr="00373B74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373B7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Хайбуллинский  район Республики Башкортостан. </w:t>
      </w:r>
    </w:p>
    <w:p w:rsidR="00FF0101" w:rsidRPr="00373B74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B74">
        <w:rPr>
          <w:rFonts w:ascii="Times New Roman" w:hAnsi="Times New Roman" w:cs="Times New Roman"/>
          <w:sz w:val="24"/>
          <w:szCs w:val="24"/>
        </w:rPr>
        <w:t xml:space="preserve">  4. Контроль за исполнением настоящего постановления оставляю за собой.</w:t>
      </w:r>
    </w:p>
    <w:p w:rsidR="00FF0101" w:rsidRPr="00373B74" w:rsidRDefault="00FF0101" w:rsidP="00FF0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FF0101" w:rsidRPr="00373B74" w:rsidRDefault="00FF0101" w:rsidP="00F84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7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373B74">
        <w:rPr>
          <w:rFonts w:ascii="Times New Roman" w:hAnsi="Times New Roman" w:cs="Times New Roman"/>
          <w:sz w:val="24"/>
          <w:szCs w:val="24"/>
        </w:rPr>
        <w:tab/>
      </w:r>
      <w:r w:rsidRPr="00373B74">
        <w:rPr>
          <w:rFonts w:ascii="Times New Roman" w:hAnsi="Times New Roman" w:cs="Times New Roman"/>
          <w:sz w:val="24"/>
          <w:szCs w:val="24"/>
        </w:rPr>
        <w:tab/>
      </w:r>
      <w:r w:rsidRPr="00373B74">
        <w:rPr>
          <w:rFonts w:ascii="Times New Roman" w:hAnsi="Times New Roman" w:cs="Times New Roman"/>
          <w:sz w:val="24"/>
          <w:szCs w:val="24"/>
        </w:rPr>
        <w:tab/>
      </w:r>
      <w:r w:rsidR="00373B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73B74">
        <w:rPr>
          <w:rFonts w:ascii="Times New Roman" w:hAnsi="Times New Roman" w:cs="Times New Roman"/>
          <w:sz w:val="24"/>
          <w:szCs w:val="24"/>
        </w:rPr>
        <w:tab/>
      </w:r>
      <w:r w:rsidR="00373B74" w:rsidRPr="00373B74">
        <w:rPr>
          <w:rFonts w:ascii="Times New Roman" w:hAnsi="Times New Roman" w:cs="Times New Roman"/>
          <w:sz w:val="24"/>
          <w:szCs w:val="24"/>
        </w:rPr>
        <w:t>Т.М.Юнусов</w:t>
      </w:r>
    </w:p>
    <w:p w:rsidR="00FF0101" w:rsidRPr="00373B74" w:rsidRDefault="00FF0101" w:rsidP="00FF0101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F0101" w:rsidRPr="00373B74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6BD2" w:rsidRDefault="00AC6BD2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BD2" w:rsidRDefault="00AC6BD2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101" w:rsidRPr="00FF0101" w:rsidRDefault="00FF0101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>Утвержден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FF0101" w:rsidRPr="00FF0101" w:rsidRDefault="00F84436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73B74">
        <w:rPr>
          <w:rFonts w:ascii="Times New Roman" w:hAnsi="Times New Roman" w:cs="Times New Roman"/>
          <w:sz w:val="24"/>
          <w:szCs w:val="24"/>
        </w:rPr>
        <w:t>бишев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="00FF0101" w:rsidRPr="00FF010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Хайбуллинский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F0101" w:rsidRPr="00FF0101" w:rsidRDefault="00AC6BD2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</w:t>
      </w:r>
      <w:r w:rsidR="00373B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3B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.2019 г№ </w:t>
      </w:r>
      <w:r w:rsidR="00373B74">
        <w:rPr>
          <w:rFonts w:ascii="Times New Roman" w:hAnsi="Times New Roman" w:cs="Times New Roman"/>
          <w:sz w:val="24"/>
          <w:szCs w:val="24"/>
        </w:rPr>
        <w:t>54</w:t>
      </w:r>
    </w:p>
    <w:p w:rsidR="00AE2BFD" w:rsidRPr="00FF0101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7E2B45" w:rsidRPr="008E61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101"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>сельском поселении А</w:t>
      </w:r>
      <w:r w:rsidR="00373B74">
        <w:rPr>
          <w:rFonts w:ascii="Times New Roman" w:hAnsi="Times New Roman" w:cs="Times New Roman"/>
          <w:b/>
          <w:bCs/>
          <w:sz w:val="28"/>
          <w:szCs w:val="28"/>
        </w:rPr>
        <w:t>бишев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Хайбуллинский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AE2BFD" w:rsidRPr="008E61D9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bCs/>
          <w:sz w:val="28"/>
          <w:szCs w:val="28"/>
        </w:rPr>
        <w:t>сельском поселении А</w:t>
      </w:r>
      <w:r w:rsidR="00373B74">
        <w:rPr>
          <w:rFonts w:ascii="Times New Roman" w:hAnsi="Times New Roman" w:cs="Times New Roman"/>
          <w:bCs/>
          <w:sz w:val="28"/>
          <w:szCs w:val="28"/>
        </w:rPr>
        <w:t>бишев</w:t>
      </w:r>
      <w:r w:rsidR="00F84436">
        <w:rPr>
          <w:rFonts w:ascii="Times New Roman" w:hAnsi="Times New Roman" w:cs="Times New Roman"/>
          <w:bCs/>
          <w:sz w:val="28"/>
          <w:szCs w:val="28"/>
        </w:rPr>
        <w:t>ский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0AB8" w:rsidRPr="008E61D9" w:rsidRDefault="007A0AB8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</w:p>
    <w:p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 xml:space="preserve">3) строительство временных или вспомогательных сооружений (включая ограждения, бытовки, навесы), складирование строительных и </w:t>
      </w:r>
      <w:r w:rsidRPr="008E61D9">
        <w:rPr>
          <w:rFonts w:ascii="Times New Roman" w:hAnsi="Times New Roman"/>
          <w:sz w:val="28"/>
        </w:rPr>
        <w:lastRenderedPageBreak/>
        <w:t>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F01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F010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F0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sz w:val="28"/>
          <w:szCs w:val="28"/>
        </w:rPr>
        <w:t>А</w:t>
      </w:r>
      <w:r w:rsidR="00373B74">
        <w:rPr>
          <w:rFonts w:ascii="Times New Roman" w:hAnsi="Times New Roman" w:cs="Times New Roman"/>
          <w:sz w:val="28"/>
          <w:szCs w:val="28"/>
        </w:rPr>
        <w:t>бишев</w:t>
      </w:r>
      <w:r w:rsidR="00F84436">
        <w:rPr>
          <w:rFonts w:ascii="Times New Roman" w:hAnsi="Times New Roman" w:cs="Times New Roman"/>
          <w:sz w:val="28"/>
          <w:szCs w:val="28"/>
        </w:rPr>
        <w:t>ский</w:t>
      </w:r>
      <w:r w:rsidRPr="00FF010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FF0101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FF0101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FF0101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F010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F010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0101" w:rsidRP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-    н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="00373B74" w:rsidRPr="00373B7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</w:t>
      </w:r>
      <w:r w:rsidR="00373B74" w:rsidRPr="00373B74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r w:rsidR="00373B74" w:rsidRPr="00373B7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spabish</w:t>
      </w:r>
      <w:r w:rsidR="00373B74" w:rsidRPr="00373B7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73B74" w:rsidRPr="00373B7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FF0101">
        <w:rPr>
          <w:rFonts w:ascii="Times New Roman" w:hAnsi="Times New Roman" w:cs="Times New Roman"/>
          <w:bCs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посредством размещения информации 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FF0101" w:rsidRPr="00FF0101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F84436">
        <w:rPr>
          <w:rFonts w:ascii="Times New Roman" w:hAnsi="Times New Roman" w:cs="Times New Roman"/>
          <w:sz w:val="28"/>
          <w:szCs w:val="28"/>
        </w:rPr>
        <w:t>сельского поселения А</w:t>
      </w:r>
      <w:r w:rsidR="00373B74">
        <w:rPr>
          <w:rFonts w:ascii="Times New Roman" w:hAnsi="Times New Roman" w:cs="Times New Roman"/>
          <w:sz w:val="28"/>
          <w:szCs w:val="28"/>
        </w:rPr>
        <w:t>бишев</w:t>
      </w:r>
      <w:r w:rsidR="00F84436">
        <w:rPr>
          <w:rFonts w:ascii="Times New Roman" w:hAnsi="Times New Roman" w:cs="Times New Roman"/>
          <w:sz w:val="28"/>
          <w:szCs w:val="28"/>
        </w:rPr>
        <w:t>ский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285292" w:rsidRPr="008E61D9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7AC" w:rsidRPr="00DF67AC" w:rsidRDefault="00DF67AC" w:rsidP="00DF67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AC">
        <w:rPr>
          <w:rFonts w:ascii="Times New Roman" w:hAnsi="Times New Roman" w:cs="Times New Roman"/>
          <w:sz w:val="28"/>
          <w:szCs w:val="28"/>
        </w:rPr>
        <w:t>Администрацией муниципального района Хайбуллински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  <w:r w:rsidRPr="00DF6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 w:rsidR="00ED6157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lastRenderedPageBreak/>
        <w:t xml:space="preserve">предоставлении муниципальной услуги </w:t>
      </w:r>
      <w:r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 xml:space="preserve">8 </w:t>
      </w:r>
      <w:r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</w:t>
      </w:r>
      <w:r w:rsidRPr="008E61D9">
        <w:rPr>
          <w:rFonts w:ascii="Times New Roman" w:hAnsi="Times New Roman"/>
          <w:sz w:val="28"/>
          <w:szCs w:val="28"/>
        </w:rPr>
        <w:lastRenderedPageBreak/>
        <w:t>государственном реестре юридических лиц - в случае, если заявление подается юридическим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</w:t>
      </w:r>
      <w:r w:rsidR="00FD63F0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FD63F0" w:rsidRPr="008E61D9">
        <w:rPr>
          <w:rFonts w:ascii="Times New Roman" w:hAnsi="Times New Roman" w:cs="Times New Roman"/>
          <w:sz w:val="28"/>
          <w:szCs w:val="28"/>
        </w:rPr>
        <w:t>С</w:t>
      </w:r>
      <w:r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F0" w:rsidRPr="008E61D9" w:rsidRDefault="00FD63F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8E61D9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</w:t>
      </w:r>
      <w:r w:rsidR="002976A9" w:rsidRPr="008E61D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:rsidR="008A54C5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к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по экстерриториальному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принципу не осуществляется.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</w:t>
      </w:r>
      <w:r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F6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Срок исполнения административной процедуры составляет три рабочих дня.</w:t>
      </w:r>
    </w:p>
    <w:p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93C94" w:rsidRPr="00655F5A" w:rsidRDefault="00432F58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</w:t>
      </w:r>
      <w:r w:rsidR="00684832" w:rsidRPr="008E61D9">
        <w:rPr>
          <w:rFonts w:ascii="Times New Roman" w:hAnsi="Times New Roman" w:cs="Times New Roman"/>
          <w:sz w:val="28"/>
          <w:szCs w:val="28"/>
        </w:rPr>
        <w:lastRenderedPageBreak/>
        <w:t>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разъясняет Заявителю содержание недостатков, выявленных в документах, предлагает принять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меры по их устранению и обратиться за предоставлением муниципальной услуги повторно.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7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DF67AC" w:rsidRPr="00DF67AC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</w:t>
      </w:r>
      <w:r w:rsidR="00DF67AC" w:rsidRPr="00DF67AC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(Уполномоченного органа) сельского поселения </w:t>
      </w:r>
      <w:r w:rsidR="00373B74">
        <w:rPr>
          <w:rFonts w:ascii="Times New Roman" w:hAnsi="Times New Roman" w:cs="Times New Roman"/>
          <w:sz w:val="28"/>
          <w:szCs w:val="28"/>
        </w:rPr>
        <w:t>Абишевский</w:t>
      </w:r>
      <w:r w:rsidR="00DF67AC" w:rsidRPr="00DF67A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73B74" w:rsidRPr="00373B7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</w:t>
      </w:r>
      <w:r w:rsidR="00373B74" w:rsidRPr="00373B74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r w:rsidR="00373B74" w:rsidRPr="00373B7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spabish</w:t>
      </w:r>
      <w:r w:rsidR="00373B74" w:rsidRPr="00373B7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73B74" w:rsidRPr="00373B7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</w:p>
    <w:p w:rsidR="000C7A50" w:rsidRPr="008E61D9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8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9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РГАУ </w:t>
      </w:r>
      <w:r w:rsidR="00FF5F17" w:rsidRPr="008E61D9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1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lastRenderedPageBreak/>
        <w:t>Приложение № 1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к Административному регламенту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по предоставлению 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муниципальной услуги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DF67AC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земельных участков, находящихся в муниципальной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государственная собственность на которые 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E40A4A" w:rsidRPr="00DF67AC" w:rsidRDefault="00E40A4A" w:rsidP="00DF67AC">
      <w:pPr>
        <w:pStyle w:val="af2"/>
        <w:ind w:left="142" w:firstLine="567"/>
        <w:jc w:val="right"/>
        <w:rPr>
          <w:rFonts w:ascii="Times New Roman" w:hAnsi="Times New Roman"/>
          <w:b/>
        </w:rPr>
      </w:pPr>
      <w:r w:rsidRPr="00DF67AC">
        <w:rPr>
          <w:rFonts w:ascii="Times New Roman" w:hAnsi="Times New Roman"/>
        </w:rPr>
        <w:t>участков и установления сервитута»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регистрации юридического лица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едином государственном реестре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юридических лиц и идентификационный                                             номер налогоплательщика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(за исключением случаев, если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заявителем является иностранное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юридическое лицо);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для физических лиц - фамилия, имя и (при наличии)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отчество, реквизиты документа,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удостоверяющего личность заявителя(для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местонахождение юридического лица;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 регистрации физического лица)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Почтовый адрес и (или) адрес электронной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почты для связи с заявителем</w:t>
      </w:r>
      <w:r w:rsidR="00182D8F"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, телефон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: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E40A4A" w:rsidP="00DF6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DF6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                                                      _______________</w:t>
      </w:r>
      <w:r w:rsidR="00DF67A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E40A4A" w:rsidRPr="00DF67AC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7AC" w:rsidRDefault="001541BA" w:rsidP="00DF67AC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303CE1" w:rsidRPr="00DF67AC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67AC">
        <w:rPr>
          <w:rFonts w:ascii="Times New Roman" w:hAnsi="Times New Roman" w:cs="Times New Roman"/>
          <w:sz w:val="18"/>
        </w:rPr>
        <w:t>(доверенность, протокол, приказ о назначении и д.р.</w:t>
      </w:r>
      <w:r w:rsidR="00DF67AC">
        <w:rPr>
          <w:rFonts w:ascii="Times New Roman" w:hAnsi="Times New Roman" w:cs="Times New Roman"/>
          <w:sz w:val="18"/>
        </w:rPr>
        <w:t>)</w:t>
      </w:r>
    </w:p>
    <w:p w:rsidR="00E40A4A" w:rsidRPr="004C2BA7" w:rsidRDefault="00E40A4A" w:rsidP="004C2BA7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03617" w:rsidRPr="004C2BA7">
        <w:rPr>
          <w:rFonts w:ascii="Times New Roman" w:hAnsi="Times New Roman"/>
          <w:sz w:val="20"/>
          <w:szCs w:val="20"/>
        </w:rPr>
        <w:t>2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по предоставлению 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муниципальной услуги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«Выдача разрешения на использование земель или </w:t>
      </w:r>
    </w:p>
    <w:p w:rsid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земельных участков, находящихся в муниципальной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собственности муниципального образования или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государственная собственность на которые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не разграничена, без предоставления земельных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Default="00185A91" w:rsidP="00185A91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Pr="0092011B" w:rsidRDefault="004C2BA7" w:rsidP="00185A91">
      <w:pPr>
        <w:spacing w:after="0" w:line="240" w:lineRule="auto"/>
      </w:pP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lastRenderedPageBreak/>
        <w:t>Приложение № 3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к Административному регламенту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по предоставлению 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муниципальной услуги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земельных участков, находящихся в муниципальной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государственная собственность на которые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</w:t>
      </w:r>
      <w:bookmarkStart w:id="2" w:name="_GoBack"/>
      <w:bookmarkEnd w:id="2"/>
      <w:r w:rsidRPr="00820ACF">
        <w:rPr>
          <w:rFonts w:ascii="Times New Roman" w:hAnsi="Times New Roman" w:cs="Times New Roman"/>
          <w:sz w:val="24"/>
          <w:szCs w:val="24"/>
        </w:rPr>
        <w:t>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4"/>
      <w:headerReference w:type="first" r:id="rId3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3E" w:rsidRDefault="00B3553E">
      <w:pPr>
        <w:spacing w:after="0" w:line="240" w:lineRule="auto"/>
      </w:pPr>
      <w:r>
        <w:separator/>
      </w:r>
    </w:p>
  </w:endnote>
  <w:endnote w:type="continuationSeparator" w:id="1">
    <w:p w:rsidR="00B3553E" w:rsidRDefault="00B3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3E" w:rsidRDefault="00B3553E">
      <w:pPr>
        <w:spacing w:after="0" w:line="240" w:lineRule="auto"/>
      </w:pPr>
      <w:r>
        <w:separator/>
      </w:r>
    </w:p>
  </w:footnote>
  <w:footnote w:type="continuationSeparator" w:id="1">
    <w:p w:rsidR="00B3553E" w:rsidRDefault="00B3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3B74" w:rsidRPr="00CC3CCD" w:rsidRDefault="00373B7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1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B74" w:rsidRDefault="00373B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3B74" w:rsidRPr="00CC3CCD" w:rsidRDefault="00373B7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14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B74" w:rsidRDefault="00373B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86C9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2756C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77A5D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73B74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22E17"/>
    <w:rsid w:val="004230BF"/>
    <w:rsid w:val="00432F58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2BA7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142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85FE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6BD2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3E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33DC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2611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67AC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4436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101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s://do.gosuslug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4BA4BBB5EF55AED9613E89BE220EBDF4F298A5A9A09D3D16A690CF0A9EB1599656D83799E7iDL4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F789-B614-46E9-B811-AB430B91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9274</TotalTime>
  <Pages>50</Pages>
  <Words>17680</Words>
  <Characters>100782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111</cp:lastModifiedBy>
  <cp:revision>174</cp:revision>
  <cp:lastPrinted>2018-05-25T09:09:00Z</cp:lastPrinted>
  <dcterms:created xsi:type="dcterms:W3CDTF">2017-03-15T14:09:00Z</dcterms:created>
  <dcterms:modified xsi:type="dcterms:W3CDTF">2019-05-06T11:33:00Z</dcterms:modified>
</cp:coreProperties>
</file>